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50" w:rsidRPr="00EE3877" w:rsidRDefault="00622350" w:rsidP="00CB5AF4">
      <w:pPr>
        <w:pStyle w:val="Heading1"/>
        <w:ind w:left="0"/>
        <w:jc w:val="center"/>
        <w:rPr>
          <w:rFonts w:asciiTheme="minorHAnsi" w:hAnsiTheme="minorHAnsi" w:cstheme="majorHAnsi"/>
          <w:spacing w:val="-1"/>
        </w:rPr>
      </w:pPr>
    </w:p>
    <w:p w:rsidR="00622350" w:rsidRPr="00EE3877" w:rsidRDefault="00622350" w:rsidP="00CB5AF4">
      <w:pPr>
        <w:pStyle w:val="Heading1"/>
        <w:ind w:left="0"/>
        <w:jc w:val="center"/>
        <w:rPr>
          <w:rFonts w:asciiTheme="minorHAnsi" w:hAnsiTheme="minorHAnsi" w:cstheme="majorHAnsi"/>
          <w:spacing w:val="-1"/>
        </w:rPr>
      </w:pPr>
    </w:p>
    <w:p w:rsidR="00622350" w:rsidRPr="00EE3877" w:rsidRDefault="00622350" w:rsidP="00CB5AF4">
      <w:pPr>
        <w:pStyle w:val="Heading1"/>
        <w:ind w:left="0"/>
        <w:jc w:val="center"/>
        <w:rPr>
          <w:rFonts w:asciiTheme="minorHAnsi" w:hAnsiTheme="minorHAnsi" w:cstheme="majorHAnsi"/>
          <w:spacing w:val="-1"/>
        </w:rPr>
      </w:pPr>
    </w:p>
    <w:p w:rsidR="00F472B8" w:rsidRDefault="00F472B8" w:rsidP="00F472B8"/>
    <w:p w:rsidR="00F875F3" w:rsidRDefault="00F875F3" w:rsidP="00F875F3">
      <w:pPr>
        <w:pStyle w:val="Heading1"/>
        <w:ind w:left="0"/>
        <w:jc w:val="center"/>
        <w:rPr>
          <w:rFonts w:asciiTheme="minorHAnsi" w:hAnsiTheme="minorHAnsi" w:cstheme="majorHAnsi"/>
          <w:spacing w:val="-7"/>
          <w:sz w:val="28"/>
          <w:szCs w:val="28"/>
        </w:rPr>
      </w:pPr>
      <w:r w:rsidRPr="00F875F3">
        <w:rPr>
          <w:rFonts w:asciiTheme="minorHAnsi" w:hAnsiTheme="minorHAnsi" w:cstheme="majorHAnsi"/>
          <w:spacing w:val="-7"/>
          <w:sz w:val="28"/>
          <w:szCs w:val="28"/>
        </w:rPr>
        <w:t>Program Policy</w:t>
      </w:r>
    </w:p>
    <w:p w:rsidR="00FB05AE" w:rsidRDefault="00FB05AE" w:rsidP="00F875F3">
      <w:pPr>
        <w:pStyle w:val="Heading1"/>
        <w:ind w:left="0"/>
        <w:jc w:val="center"/>
        <w:rPr>
          <w:rFonts w:asciiTheme="minorHAnsi" w:hAnsiTheme="minorHAnsi" w:cstheme="majorHAnsi"/>
          <w:spacing w:val="-7"/>
          <w:sz w:val="28"/>
          <w:szCs w:val="28"/>
        </w:rPr>
      </w:pPr>
    </w:p>
    <w:p w:rsidR="00F875F3" w:rsidRPr="00FB05AE" w:rsidRDefault="00FB05AE" w:rsidP="00B94B97">
      <w:pPr>
        <w:pStyle w:val="Heading1"/>
        <w:ind w:left="360" w:right="360"/>
        <w:rPr>
          <w:rFonts w:asciiTheme="minorHAnsi" w:hAnsiTheme="minorHAnsi" w:cstheme="majorHAnsi"/>
          <w:b w:val="0"/>
          <w:bCs w:val="0"/>
          <w:i/>
          <w:iCs/>
          <w:spacing w:val="-7"/>
        </w:rPr>
      </w:pPr>
      <w:r w:rsidRPr="00FB05AE">
        <w:rPr>
          <w:rFonts w:asciiTheme="minorHAnsi" w:hAnsiTheme="minorHAnsi" w:cstheme="majorHAnsi"/>
          <w:b w:val="0"/>
          <w:bCs w:val="0"/>
          <w:i/>
          <w:iCs/>
          <w:spacing w:val="-7"/>
        </w:rPr>
        <w:t xml:space="preserve">Following is </w:t>
      </w:r>
      <w:r>
        <w:rPr>
          <w:rFonts w:asciiTheme="minorHAnsi" w:hAnsiTheme="minorHAnsi" w:cstheme="majorHAnsi"/>
          <w:b w:val="0"/>
          <w:bCs w:val="0"/>
          <w:i/>
          <w:iCs/>
          <w:spacing w:val="-7"/>
        </w:rPr>
        <w:t xml:space="preserve">a sample policy </w:t>
      </w:r>
      <w:r w:rsidR="00B94B97" w:rsidRPr="00B94B97">
        <w:rPr>
          <w:rFonts w:asciiTheme="minorHAnsi" w:hAnsiTheme="minorHAnsi"/>
          <w:b w:val="0"/>
          <w:i/>
        </w:rPr>
        <w:t>that a program may use to develop its own policy on handling exceptions due to the COVID-19 interruption.</w:t>
      </w:r>
    </w:p>
    <w:tbl>
      <w:tblPr>
        <w:tblStyle w:val="TableGrid"/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711"/>
        <w:gridCol w:w="7369"/>
      </w:tblGrid>
      <w:tr w:rsidR="00F875F3" w:rsidRPr="00F875F3" w:rsidTr="00FB05AE">
        <w:trPr>
          <w:jc w:val="center"/>
        </w:trPr>
        <w:tc>
          <w:tcPr>
            <w:tcW w:w="251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Topic:</w:t>
            </w:r>
          </w:p>
        </w:tc>
        <w:tc>
          <w:tcPr>
            <w:tcW w:w="683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Policy Exceptions COVID</w:t>
            </w:r>
            <w:r w:rsidR="00FB05AE">
              <w:rPr>
                <w:rFonts w:cs="Arial"/>
                <w:b/>
                <w:bCs/>
              </w:rPr>
              <w:t>-</w:t>
            </w:r>
            <w:r w:rsidRPr="00F875F3">
              <w:rPr>
                <w:rFonts w:cs="Arial"/>
                <w:b/>
                <w:bCs/>
              </w:rPr>
              <w:t xml:space="preserve">19 Interruption </w:t>
            </w: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Policy #:</w:t>
            </w:r>
          </w:p>
        </w:tc>
        <w:tc>
          <w:tcPr>
            <w:tcW w:w="683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Date initiated:</w:t>
            </w:r>
          </w:p>
        </w:tc>
        <w:tc>
          <w:tcPr>
            <w:tcW w:w="683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Date effective:</w:t>
            </w:r>
          </w:p>
        </w:tc>
        <w:tc>
          <w:tcPr>
            <w:tcW w:w="683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Approved by:</w:t>
            </w:r>
          </w:p>
        </w:tc>
        <w:tc>
          <w:tcPr>
            <w:tcW w:w="6835" w:type="dxa"/>
          </w:tcPr>
          <w:p w:rsidR="00F875F3" w:rsidRPr="00F875F3" w:rsidRDefault="00F875F3" w:rsidP="00F2646A">
            <w:pPr>
              <w:rPr>
                <w:rFonts w:cs="Arial"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Date review/revised: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F875F3" w:rsidRPr="00F875F3" w:rsidRDefault="00F875F3" w:rsidP="00F2646A">
            <w:pPr>
              <w:rPr>
                <w:rFonts w:cs="Arial"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2515" w:type="dxa"/>
            <w:tcBorders>
              <w:left w:val="nil"/>
              <w:right w:val="nil"/>
            </w:tcBorders>
          </w:tcPr>
          <w:p w:rsidR="00F875F3" w:rsidRPr="00F875F3" w:rsidRDefault="00F875F3" w:rsidP="00F2646A">
            <w:pPr>
              <w:rPr>
                <w:rFonts w:cs="Arial"/>
              </w:rPr>
            </w:pPr>
          </w:p>
        </w:tc>
        <w:tc>
          <w:tcPr>
            <w:tcW w:w="6835" w:type="dxa"/>
            <w:tcBorders>
              <w:left w:val="nil"/>
              <w:right w:val="nil"/>
            </w:tcBorders>
          </w:tcPr>
          <w:p w:rsidR="00F875F3" w:rsidRPr="00F875F3" w:rsidRDefault="00F875F3" w:rsidP="00F2646A">
            <w:pPr>
              <w:rPr>
                <w:rFonts w:cs="Arial"/>
              </w:rPr>
            </w:pP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  <w:gridSpan w:val="2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Category:  Program Administration</w:t>
            </w:r>
          </w:p>
        </w:tc>
      </w:tr>
    </w:tbl>
    <w:p w:rsidR="00F875F3" w:rsidRPr="00F875F3" w:rsidRDefault="00F875F3" w:rsidP="00F875F3">
      <w:pPr>
        <w:rPr>
          <w:rFonts w:cs="Arial"/>
          <w:sz w:val="22"/>
          <w:szCs w:val="22"/>
        </w:rPr>
      </w:pPr>
    </w:p>
    <w:tbl>
      <w:tblPr>
        <w:tblStyle w:val="TableGrid"/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0080"/>
      </w:tblGrid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2646A">
            <w:pPr>
              <w:rPr>
                <w:rFonts w:cs="Arial"/>
                <w:b/>
                <w:bCs/>
              </w:rPr>
            </w:pPr>
            <w:r w:rsidRPr="00F875F3">
              <w:rPr>
                <w:rFonts w:cs="Arial"/>
                <w:b/>
                <w:bCs/>
              </w:rPr>
              <w:t>Policy: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Governmental Executive Orders, public health authorities, and </w:t>
            </w:r>
            <w:r w:rsidR="00FB05AE">
              <w:rPr>
                <w:rFonts w:cs="Arial"/>
              </w:rPr>
              <w:t>Sponsor/Institution</w:t>
            </w:r>
            <w:r w:rsidRPr="00F875F3">
              <w:rPr>
                <w:rFonts w:cs="Arial"/>
              </w:rPr>
              <w:t xml:space="preserve"> requirements have impacted the normal operation of colleges</w:t>
            </w:r>
            <w:r w:rsidRPr="00F875F3">
              <w:rPr>
                <w:rFonts w:cs="Arial"/>
                <w:w w:val="101"/>
              </w:rPr>
              <w:t xml:space="preserve"> </w:t>
            </w:r>
            <w:r w:rsidRPr="00F875F3">
              <w:rPr>
                <w:rFonts w:cs="Arial"/>
              </w:rPr>
              <w:t>and</w:t>
            </w:r>
            <w:r w:rsidRPr="00F875F3">
              <w:rPr>
                <w:rFonts w:cs="Arial"/>
                <w:spacing w:val="12"/>
              </w:rPr>
              <w:t xml:space="preserve"> </w:t>
            </w:r>
            <w:r w:rsidRPr="00F875F3">
              <w:rPr>
                <w:rFonts w:cs="Arial"/>
              </w:rPr>
              <w:t>other post-secondary education programs.</w:t>
            </w:r>
            <w:r w:rsidRPr="00F875F3">
              <w:rPr>
                <w:rFonts w:cs="Arial"/>
                <w:spacing w:val="41"/>
              </w:rPr>
              <w:t xml:space="preserve"> </w:t>
            </w:r>
            <w:r w:rsidRPr="00F875F3">
              <w:rPr>
                <w:rFonts w:cs="Arial"/>
              </w:rPr>
              <w:t>Programs</w:t>
            </w:r>
            <w:r w:rsidRPr="00F875F3">
              <w:rPr>
                <w:rFonts w:cs="Arial"/>
                <w:spacing w:val="14"/>
              </w:rPr>
              <w:t xml:space="preserve"> </w:t>
            </w:r>
            <w:r w:rsidRPr="00F875F3">
              <w:rPr>
                <w:rFonts w:cs="Arial"/>
              </w:rPr>
              <w:t>are</w:t>
            </w:r>
            <w:r w:rsidRPr="00F875F3">
              <w:rPr>
                <w:rFonts w:cs="Arial"/>
                <w:spacing w:val="19"/>
              </w:rPr>
              <w:t xml:space="preserve"> </w:t>
            </w:r>
            <w:r w:rsidRPr="00F875F3">
              <w:rPr>
                <w:rFonts w:cs="Arial"/>
              </w:rPr>
              <w:t>prohibited</w:t>
            </w:r>
            <w:r w:rsidRPr="00F875F3">
              <w:rPr>
                <w:rFonts w:cs="Arial"/>
                <w:spacing w:val="33"/>
              </w:rPr>
              <w:t xml:space="preserve"> </w:t>
            </w:r>
            <w:r w:rsidRPr="00F875F3">
              <w:rPr>
                <w:rFonts w:cs="Arial"/>
              </w:rPr>
              <w:t>from</w:t>
            </w:r>
            <w:r w:rsidRPr="00F875F3">
              <w:rPr>
                <w:rFonts w:cs="Arial"/>
                <w:spacing w:val="18"/>
              </w:rPr>
              <w:t xml:space="preserve"> </w:t>
            </w:r>
            <w:r w:rsidRPr="00F875F3">
              <w:rPr>
                <w:rFonts w:cs="Arial"/>
              </w:rPr>
              <w:t>conducting</w:t>
            </w:r>
            <w:r w:rsidRPr="00F875F3">
              <w:rPr>
                <w:rFonts w:cs="Arial"/>
                <w:spacing w:val="29"/>
              </w:rPr>
              <w:t xml:space="preserve"> </w:t>
            </w:r>
            <w:r w:rsidRPr="00F875F3">
              <w:rPr>
                <w:rFonts w:cs="Arial"/>
              </w:rPr>
              <w:t>in-person</w:t>
            </w:r>
            <w:r w:rsidRPr="00F875F3">
              <w:rPr>
                <w:rFonts w:cs="Arial"/>
                <w:spacing w:val="20"/>
              </w:rPr>
              <w:t xml:space="preserve"> </w:t>
            </w:r>
            <w:r w:rsidRPr="00F875F3">
              <w:rPr>
                <w:rFonts w:cs="Arial"/>
              </w:rPr>
              <w:t>classroom,</w:t>
            </w:r>
            <w:r w:rsidRPr="00F875F3">
              <w:rPr>
                <w:rFonts w:cs="Arial"/>
                <w:w w:val="101"/>
              </w:rPr>
              <w:t xml:space="preserve"> </w:t>
            </w:r>
            <w:r w:rsidRPr="00F875F3">
              <w:rPr>
                <w:rFonts w:cs="Arial"/>
              </w:rPr>
              <w:t>laboratory,</w:t>
            </w:r>
            <w:r w:rsidRPr="00F875F3">
              <w:rPr>
                <w:rFonts w:cs="Arial"/>
                <w:spacing w:val="30"/>
              </w:rPr>
              <w:t xml:space="preserve"> </w:t>
            </w:r>
            <w:r w:rsidRPr="00F875F3">
              <w:rPr>
                <w:rFonts w:cs="Arial"/>
              </w:rPr>
              <w:t>and</w:t>
            </w:r>
            <w:r w:rsidRPr="00F875F3">
              <w:rPr>
                <w:rFonts w:cs="Arial"/>
                <w:spacing w:val="17"/>
              </w:rPr>
              <w:t xml:space="preserve"> </w:t>
            </w:r>
            <w:r w:rsidRPr="00F875F3">
              <w:rPr>
                <w:rFonts w:cs="Arial"/>
              </w:rPr>
              <w:t>other</w:t>
            </w:r>
            <w:r w:rsidRPr="00F875F3">
              <w:rPr>
                <w:rFonts w:cs="Arial"/>
                <w:spacing w:val="24"/>
              </w:rPr>
              <w:t xml:space="preserve"> </w:t>
            </w:r>
            <w:r w:rsidRPr="00F875F3">
              <w:rPr>
                <w:rFonts w:cs="Arial"/>
              </w:rPr>
              <w:t>instruction.</w:t>
            </w:r>
            <w:r w:rsidRPr="00F875F3">
              <w:rPr>
                <w:rFonts w:cs="Arial"/>
                <w:spacing w:val="26"/>
              </w:rPr>
              <w:t xml:space="preserve"> 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Notice is posted by </w:t>
            </w:r>
            <w:r w:rsidR="00FB05AE">
              <w:rPr>
                <w:rFonts w:cs="Arial"/>
              </w:rPr>
              <w:t>Sponsor/Institution</w:t>
            </w:r>
            <w:r w:rsidR="00FB05AE" w:rsidRPr="00F875F3">
              <w:rPr>
                <w:rFonts w:cs="Arial"/>
              </w:rPr>
              <w:t xml:space="preserve"> </w:t>
            </w:r>
            <w:r w:rsidRPr="00F875F3">
              <w:rPr>
                <w:rFonts w:cs="Arial"/>
              </w:rPr>
              <w:t>regarding the campus closure with a contact number.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Phones from impacted closed </w:t>
            </w:r>
            <w:proofErr w:type="gramStart"/>
            <w:r w:rsidRPr="00F875F3">
              <w:rPr>
                <w:rFonts w:cs="Arial"/>
              </w:rPr>
              <w:t>campus</w:t>
            </w:r>
            <w:r w:rsidR="00FB05AE">
              <w:rPr>
                <w:rFonts w:cs="Arial"/>
              </w:rPr>
              <w:t>(</w:t>
            </w:r>
            <w:proofErr w:type="gramEnd"/>
            <w:r w:rsidRPr="00F875F3">
              <w:rPr>
                <w:rFonts w:cs="Arial"/>
              </w:rPr>
              <w:t>es</w:t>
            </w:r>
            <w:r w:rsidR="00FB05AE">
              <w:rPr>
                <w:rFonts w:cs="Arial"/>
              </w:rPr>
              <w:t>)</w:t>
            </w:r>
            <w:r w:rsidRPr="00F875F3">
              <w:rPr>
                <w:rFonts w:cs="Arial"/>
              </w:rPr>
              <w:t xml:space="preserve"> have been forwarded to a central phone number as appropriate.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Program Director will remain in contact with the Program Medical Director regarding the temporary changes.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Programs have transitioned to online instruction for didactic education.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Classroom didactic instruction has been moved to a Zoom or similar platform with continued use of the LMS.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Skills, scenario, and simulation practice are deferred until the existing orders/restrictions have been lifted and students are able to return to the classroom.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BodyText"/>
              <w:numPr>
                <w:ilvl w:val="0"/>
                <w:numId w:val="19"/>
              </w:numPr>
              <w:tabs>
                <w:tab w:val="left" w:pos="2938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F875F3">
              <w:rPr>
                <w:rFonts w:asciiTheme="minorHAnsi" w:hAnsiTheme="minorHAnsi" w:cs="Arial"/>
                <w:sz w:val="22"/>
                <w:szCs w:val="22"/>
              </w:rPr>
              <w:t xml:space="preserve">Some clinical and </w:t>
            </w:r>
            <w:r w:rsidR="00FB05AE">
              <w:rPr>
                <w:rFonts w:asciiTheme="minorHAnsi" w:hAnsiTheme="minorHAnsi" w:cs="Arial"/>
                <w:sz w:val="22"/>
                <w:szCs w:val="22"/>
              </w:rPr>
              <w:t xml:space="preserve">capstone </w:t>
            </w:r>
            <w:r w:rsidRPr="00F875F3">
              <w:rPr>
                <w:rFonts w:asciiTheme="minorHAnsi" w:hAnsiTheme="minorHAnsi" w:cs="Arial"/>
                <w:sz w:val="22"/>
                <w:szCs w:val="22"/>
              </w:rPr>
              <w:t>field internship sites have suspended Paramedic student rotations until further notice.  Students have been notified.  Faculty are reviewing student data entries on patient contacts, skills completed, and required competencies.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BodyText"/>
              <w:numPr>
                <w:ilvl w:val="0"/>
                <w:numId w:val="19"/>
              </w:numPr>
              <w:tabs>
                <w:tab w:val="left" w:pos="2938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F875F3">
              <w:rPr>
                <w:rFonts w:asciiTheme="minorHAnsi" w:hAnsiTheme="minorHAnsi" w:cs="Arial"/>
                <w:sz w:val="22"/>
                <w:szCs w:val="22"/>
              </w:rPr>
              <w:t>Clinical Coordinator may continue to perform clinical site visits if the hospital permits this activity.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B05AE" w:rsidP="00F875F3">
            <w:pPr>
              <w:pStyle w:val="BodyText"/>
              <w:numPr>
                <w:ilvl w:val="0"/>
                <w:numId w:val="19"/>
              </w:numPr>
              <w:tabs>
                <w:tab w:val="left" w:pos="2938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Capstone </w:t>
            </w:r>
            <w:r w:rsidR="00F875F3" w:rsidRPr="00F875F3">
              <w:rPr>
                <w:rFonts w:asciiTheme="minorHAnsi" w:hAnsiTheme="minorHAnsi" w:cs="Arial"/>
                <w:sz w:val="22"/>
                <w:szCs w:val="22"/>
              </w:rPr>
              <w:t>Field Internship Coordinators will conduct field visits with the student and preceptor virtually.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BodyText"/>
              <w:numPr>
                <w:ilvl w:val="0"/>
                <w:numId w:val="19"/>
              </w:numPr>
              <w:tabs>
                <w:tab w:val="left" w:pos="2938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F875F3">
              <w:rPr>
                <w:rFonts w:asciiTheme="minorHAnsi" w:hAnsiTheme="minorHAnsi" w:cs="Arial"/>
                <w:sz w:val="22"/>
                <w:szCs w:val="22"/>
              </w:rPr>
              <w:t>Cohorts that have begun in the past few weeks have been paused until residential education can be resumed.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Weekly webinar sessions will be held by the faculty with students halted in the clinical and field internship rotations to present and discuss case studies.  The sessions can include a quiz structure to test for knowledge.</w:t>
            </w:r>
          </w:p>
        </w:tc>
      </w:tr>
    </w:tbl>
    <w:p w:rsidR="00FB05AE" w:rsidRDefault="00FB05AE"/>
    <w:tbl>
      <w:tblPr>
        <w:tblStyle w:val="TableGrid"/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0080"/>
      </w:tblGrid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lastRenderedPageBreak/>
              <w:t>Course progression:</w:t>
            </w:r>
          </w:p>
          <w:p w:rsidR="00F875F3" w:rsidRPr="00F875F3" w:rsidRDefault="00BC3341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 w:cs="Arial"/>
              </w:rPr>
              <w:t>Administration</w:t>
            </w:r>
            <w:r w:rsidR="00F875F3" w:rsidRPr="00F875F3">
              <w:rPr>
                <w:rFonts w:asciiTheme="minorHAnsi" w:eastAsia="Times New Roman" w:hAnsiTheme="minorHAnsi" w:cs="Arial"/>
              </w:rPr>
              <w:t xml:space="preserve"> continue</w:t>
            </w:r>
            <w:r w:rsidR="00FB05AE">
              <w:rPr>
                <w:rFonts w:asciiTheme="minorHAnsi" w:eastAsia="Times New Roman" w:hAnsiTheme="minorHAnsi" w:cs="Arial"/>
              </w:rPr>
              <w:t>s</w:t>
            </w:r>
            <w:r w:rsidR="00F875F3" w:rsidRPr="00F875F3">
              <w:rPr>
                <w:rFonts w:asciiTheme="minorHAnsi" w:eastAsia="Times New Roman" w:hAnsiTheme="minorHAnsi" w:cs="Arial"/>
              </w:rPr>
              <w:t xml:space="preserve"> to work with </w:t>
            </w:r>
            <w:r w:rsidR="00FB05AE">
              <w:rPr>
                <w:rFonts w:asciiTheme="minorHAnsi" w:eastAsia="Times New Roman" w:hAnsiTheme="minorHAnsi" w:cs="Arial"/>
              </w:rPr>
              <w:t>the</w:t>
            </w:r>
            <w:r w:rsidR="00F875F3" w:rsidRPr="00F875F3">
              <w:rPr>
                <w:rFonts w:asciiTheme="minorHAnsi" w:eastAsia="Times New Roman" w:hAnsiTheme="minorHAnsi" w:cs="Arial"/>
              </w:rPr>
              <w:t xml:space="preserve"> campus to determine how far into the </w:t>
            </w:r>
            <w:r>
              <w:rPr>
                <w:rFonts w:asciiTheme="minorHAnsi" w:eastAsia="Times New Roman" w:hAnsiTheme="minorHAnsi" w:cs="Arial"/>
              </w:rPr>
              <w:t xml:space="preserve">online delivery of the </w:t>
            </w:r>
            <w:r w:rsidR="00F875F3" w:rsidRPr="00F875F3">
              <w:rPr>
                <w:rFonts w:asciiTheme="minorHAnsi" w:eastAsia="Times New Roman" w:hAnsiTheme="minorHAnsi" w:cs="Arial"/>
              </w:rPr>
              <w:t xml:space="preserve">curriculum/program the course can progress before there is a need to pause the course until labs are once again available.  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>Two units (topic blocks) can typically be completed without labs, but then the course must be paused until labs are available.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 xml:space="preserve">This above applies whether the course is in the early stages or near the end. 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>The grading policy will be modified due to the lack of ability to conduct labs that are intended to reinforce the classroom content:</w:t>
            </w:r>
          </w:p>
          <w:p w:rsidR="00F875F3" w:rsidRPr="00F875F3" w:rsidRDefault="00F875F3" w:rsidP="00F875F3">
            <w:pPr>
              <w:pStyle w:val="xmsolistparagraph"/>
              <w:numPr>
                <w:ilvl w:val="2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 xml:space="preserve">Failure of an exam the second time </w:t>
            </w:r>
            <w:r w:rsidRPr="00F875F3">
              <w:rPr>
                <w:rFonts w:asciiTheme="minorHAnsi" w:eastAsia="Times New Roman" w:hAnsiTheme="minorHAnsi" w:cs="Arial"/>
                <w:b/>
                <w:bCs/>
              </w:rPr>
              <w:t>will not result in dismissal</w:t>
            </w:r>
            <w:r w:rsidRPr="00F875F3">
              <w:rPr>
                <w:rFonts w:asciiTheme="minorHAnsi" w:eastAsia="Times New Roman" w:hAnsiTheme="minorHAnsi" w:cs="Arial"/>
              </w:rPr>
              <w:t xml:space="preserve"> at that time.</w:t>
            </w:r>
          </w:p>
          <w:p w:rsidR="00F875F3" w:rsidRPr="00F875F3" w:rsidRDefault="00F875F3" w:rsidP="00F875F3">
            <w:pPr>
              <w:pStyle w:val="xmsolistparagraph"/>
              <w:numPr>
                <w:ilvl w:val="2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 xml:space="preserve">The student will be provided a </w:t>
            </w:r>
            <w:proofErr w:type="gramStart"/>
            <w:r w:rsidRPr="00F875F3">
              <w:rPr>
                <w:rFonts w:asciiTheme="minorHAnsi" w:eastAsia="Times New Roman" w:hAnsiTheme="minorHAnsi" w:cs="Arial"/>
                <w:b/>
                <w:bCs/>
              </w:rPr>
              <w:t>third</w:t>
            </w:r>
            <w:r w:rsidRPr="00F875F3">
              <w:rPr>
                <w:rFonts w:asciiTheme="minorHAnsi" w:eastAsia="Times New Roman" w:hAnsiTheme="minorHAnsi" w:cs="Arial"/>
              </w:rPr>
              <w:t>,</w:t>
            </w:r>
            <w:proofErr w:type="gramEnd"/>
            <w:r w:rsidRPr="00F875F3">
              <w:rPr>
                <w:rFonts w:asciiTheme="minorHAnsi" w:eastAsia="Times New Roman" w:hAnsiTheme="minorHAnsi" w:cs="Arial"/>
              </w:rPr>
              <w:t xml:space="preserve"> and final, testing opportunity </w:t>
            </w:r>
            <w:r w:rsidRPr="00F875F3">
              <w:rPr>
                <w:rFonts w:asciiTheme="minorHAnsi" w:eastAsia="Times New Roman" w:hAnsiTheme="minorHAnsi" w:cs="Arial"/>
                <w:b/>
                <w:bCs/>
              </w:rPr>
              <w:t>once labs resume</w:t>
            </w:r>
            <w:r w:rsidRPr="00F875F3">
              <w:rPr>
                <w:rFonts w:asciiTheme="minorHAnsi" w:eastAsia="Times New Roman" w:hAnsiTheme="minorHAnsi" w:cs="Arial"/>
              </w:rPr>
              <w:t xml:space="preserve"> and the individual has completed all the relevant lab components.</w:t>
            </w:r>
          </w:p>
          <w:p w:rsidR="00F875F3" w:rsidRPr="00F875F3" w:rsidRDefault="00F875F3" w:rsidP="00F875F3">
            <w:pPr>
              <w:pStyle w:val="xmsolistparagraph"/>
              <w:numPr>
                <w:ilvl w:val="2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>Once the labs are complete, the program director will schedule the third attempt.  Scheduling will not be at the discretion of the student.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Students will be notified via phone and email if the course is paused and a </w:t>
            </w:r>
            <w:r w:rsidRPr="00F875F3">
              <w:rPr>
                <w:rFonts w:cs="Arial"/>
                <w:i/>
                <w:iCs/>
              </w:rPr>
              <w:t>Student</w:t>
            </w:r>
            <w:r w:rsidRPr="00F875F3">
              <w:rPr>
                <w:rFonts w:cs="Arial"/>
              </w:rPr>
              <w:t xml:space="preserve"> </w:t>
            </w:r>
            <w:r w:rsidRPr="00F875F3">
              <w:rPr>
                <w:rFonts w:cs="Arial"/>
                <w:i/>
                <w:iCs/>
              </w:rPr>
              <w:t>Education Interruption</w:t>
            </w:r>
            <w:r w:rsidRPr="00F875F3">
              <w:rPr>
                <w:rFonts w:cs="Arial"/>
              </w:rPr>
              <w:t xml:space="preserve"> form completed and signed by each student.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xmso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 w:rsidRPr="00F875F3">
              <w:rPr>
                <w:rFonts w:asciiTheme="minorHAnsi" w:hAnsiTheme="minorHAnsi" w:cs="Arial"/>
              </w:rPr>
              <w:t>Deferred internships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hAnsiTheme="minorHAnsi" w:cs="Arial"/>
              </w:rPr>
            </w:pPr>
            <w:r w:rsidRPr="00F875F3">
              <w:rPr>
                <w:rFonts w:asciiTheme="minorHAnsi" w:eastAsia="Times New Roman" w:hAnsiTheme="minorHAnsi" w:cs="Arial"/>
              </w:rPr>
              <w:t xml:space="preserve">Students will be permitted to request a </w:t>
            </w:r>
            <w:r w:rsidRPr="00F875F3">
              <w:rPr>
                <w:rFonts w:asciiTheme="minorHAnsi" w:eastAsia="Times New Roman" w:hAnsiTheme="minorHAnsi" w:cs="Arial"/>
                <w:i/>
                <w:iCs/>
              </w:rPr>
              <w:t>deferral</w:t>
            </w:r>
            <w:r w:rsidRPr="00F875F3">
              <w:rPr>
                <w:rFonts w:asciiTheme="minorHAnsi" w:eastAsia="Times New Roman" w:hAnsiTheme="minorHAnsi" w:cs="Arial"/>
              </w:rPr>
              <w:t xml:space="preserve"> of their </w:t>
            </w:r>
            <w:r w:rsidR="00121E66">
              <w:rPr>
                <w:rFonts w:asciiTheme="minorHAnsi" w:eastAsia="Times New Roman" w:hAnsiTheme="minorHAnsi" w:cs="Arial"/>
              </w:rPr>
              <w:t xml:space="preserve">capstone field </w:t>
            </w:r>
            <w:r w:rsidRPr="00F875F3">
              <w:rPr>
                <w:rFonts w:asciiTheme="minorHAnsi" w:eastAsia="Times New Roman" w:hAnsiTheme="minorHAnsi" w:cs="Arial"/>
              </w:rPr>
              <w:t>internship but must submit that request in writing and the reasons for the request and should include specific concerns such as an underlying condition (</w:t>
            </w:r>
            <w:r w:rsidR="00121E66">
              <w:rPr>
                <w:rFonts w:asciiTheme="minorHAnsi" w:eastAsia="Times New Roman" w:hAnsiTheme="minorHAnsi" w:cs="Arial"/>
              </w:rPr>
              <w:t>i.e.,</w:t>
            </w:r>
            <w:r w:rsidRPr="00F875F3">
              <w:rPr>
                <w:rFonts w:asciiTheme="minorHAnsi" w:eastAsia="Times New Roman" w:hAnsiTheme="minorHAnsi" w:cs="Arial"/>
              </w:rPr>
              <w:t xml:space="preserve"> asthma) that would make them more susceptible to infection.  The conversation with the student should include the nature of EMS work and the routine exposure to infectious diseases.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</w:rPr>
            </w:pPr>
            <w:r w:rsidRPr="00F875F3">
              <w:rPr>
                <w:rFonts w:asciiTheme="minorHAnsi" w:eastAsia="Times New Roman" w:hAnsiTheme="minorHAnsi" w:cs="Arial"/>
              </w:rPr>
              <w:t>A counseling form must be completed in each of these situations.  Where shelter</w:t>
            </w:r>
            <w:r w:rsidR="00121E66">
              <w:rPr>
                <w:rFonts w:asciiTheme="minorHAnsi" w:eastAsia="Times New Roman" w:hAnsiTheme="minorHAnsi" w:cs="Arial"/>
              </w:rPr>
              <w:t>-</w:t>
            </w:r>
            <w:r w:rsidRPr="00F875F3">
              <w:rPr>
                <w:rFonts w:asciiTheme="minorHAnsi" w:eastAsia="Times New Roman" w:hAnsiTheme="minorHAnsi" w:cs="Arial"/>
              </w:rPr>
              <w:t>in</w:t>
            </w:r>
            <w:r w:rsidR="00121E66">
              <w:rPr>
                <w:rFonts w:asciiTheme="minorHAnsi" w:eastAsia="Times New Roman" w:hAnsiTheme="minorHAnsi" w:cs="Arial"/>
              </w:rPr>
              <w:t>-</w:t>
            </w:r>
            <w:r w:rsidRPr="00F875F3">
              <w:rPr>
                <w:rFonts w:asciiTheme="minorHAnsi" w:eastAsia="Times New Roman" w:hAnsiTheme="minorHAnsi" w:cs="Arial"/>
              </w:rPr>
              <w:t xml:space="preserve">place is in effect, the Program Director </w:t>
            </w:r>
            <w:r w:rsidR="00BC3341">
              <w:rPr>
                <w:rFonts w:asciiTheme="minorHAnsi" w:eastAsia="Times New Roman" w:hAnsiTheme="minorHAnsi" w:cs="Arial"/>
              </w:rPr>
              <w:t>will</w:t>
            </w:r>
            <w:r w:rsidRPr="00F875F3">
              <w:rPr>
                <w:rFonts w:asciiTheme="minorHAnsi" w:eastAsia="Times New Roman" w:hAnsiTheme="minorHAnsi" w:cs="Arial"/>
              </w:rPr>
              <w:t xml:space="preserve"> have a phone conversation and send the counseling form for student signature by DocuSign.</w:t>
            </w:r>
          </w:p>
          <w:p w:rsidR="00F875F3" w:rsidRPr="00F875F3" w:rsidRDefault="00F875F3" w:rsidP="00F875F3">
            <w:pPr>
              <w:pStyle w:val="xmsolistparagraph"/>
              <w:numPr>
                <w:ilvl w:val="1"/>
                <w:numId w:val="19"/>
              </w:numPr>
              <w:rPr>
                <w:rFonts w:asciiTheme="minorHAnsi" w:eastAsia="Times New Roman" w:hAnsiTheme="minorHAnsi"/>
                <w:color w:val="203864"/>
              </w:rPr>
            </w:pPr>
            <w:r w:rsidRPr="00F875F3">
              <w:rPr>
                <w:rFonts w:asciiTheme="minorHAnsi" w:eastAsia="Times New Roman" w:hAnsiTheme="minorHAnsi" w:cs="Arial"/>
              </w:rPr>
              <w:t xml:space="preserve">This is a different situation than the Program </w:t>
            </w:r>
            <w:proofErr w:type="gramStart"/>
            <w:r w:rsidRPr="00F875F3">
              <w:rPr>
                <w:rFonts w:asciiTheme="minorHAnsi" w:eastAsia="Times New Roman" w:hAnsiTheme="minorHAnsi" w:cs="Arial"/>
              </w:rPr>
              <w:t>pausing</w:t>
            </w:r>
            <w:proofErr w:type="gramEnd"/>
            <w:r w:rsidRPr="00F875F3">
              <w:rPr>
                <w:rFonts w:asciiTheme="minorHAnsi" w:eastAsia="Times New Roman" w:hAnsiTheme="minorHAnsi" w:cs="Arial"/>
              </w:rPr>
              <w:t xml:space="preserve"> the student.  When a student is requesting to defer the internship a counseling form is required. 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bookmarkStart w:id="0" w:name="_GoBack"/>
            <w:r w:rsidRPr="00F875F3">
              <w:rPr>
                <w:rFonts w:cs="Arial"/>
              </w:rPr>
              <w:t>Once normal operations are permitted to resume, the Program Director will revise the Program schedule to accommodate all skills, scenario, and simulation practice and testing.</w:t>
            </w:r>
          </w:p>
        </w:tc>
      </w:tr>
      <w:bookmarkEnd w:id="0"/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Students will be required to complete all course hours, skills, patient contacts, and competencies to satisfy graduation requirements.  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>Any student wishing to withdraw from the program will follow the normal procedure.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Candidate interviews may be scheduled via </w:t>
            </w:r>
            <w:r w:rsidR="00BC3341">
              <w:rPr>
                <w:rFonts w:cs="Arial"/>
              </w:rPr>
              <w:t>an electronic platform</w:t>
            </w:r>
            <w:r w:rsidR="00BC3341" w:rsidRPr="00F875F3">
              <w:rPr>
                <w:rFonts w:cs="Arial"/>
              </w:rPr>
              <w:t xml:space="preserve"> </w:t>
            </w:r>
            <w:r w:rsidRPr="00F875F3">
              <w:rPr>
                <w:rFonts w:cs="Arial"/>
              </w:rPr>
              <w:t xml:space="preserve">and decisions to proceed are made by </w:t>
            </w:r>
            <w:r w:rsidR="00BC3341">
              <w:rPr>
                <w:rFonts w:cs="Arial"/>
              </w:rPr>
              <w:t>program director</w:t>
            </w:r>
            <w:r w:rsidRPr="00F875F3">
              <w:rPr>
                <w:rFonts w:cs="Arial"/>
              </w:rPr>
              <w:t>.  The Entrance Exam will be scheduled once restrictions are lifted.</w:t>
            </w:r>
          </w:p>
        </w:tc>
      </w:tr>
      <w:tr w:rsidR="00F875F3" w:rsidRPr="00F875F3" w:rsidTr="00FB05AE">
        <w:trPr>
          <w:jc w:val="center"/>
        </w:trPr>
        <w:tc>
          <w:tcPr>
            <w:tcW w:w="9350" w:type="dxa"/>
          </w:tcPr>
          <w:p w:rsidR="00F875F3" w:rsidRPr="00F875F3" w:rsidRDefault="00F875F3" w:rsidP="00F875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F875F3">
              <w:rPr>
                <w:rFonts w:cs="Arial"/>
              </w:rPr>
              <w:t xml:space="preserve">Staff may work remotely with permission from Program Administration and following the </w:t>
            </w:r>
            <w:r w:rsidR="00D22A7E">
              <w:rPr>
                <w:rFonts w:cs="Arial"/>
              </w:rPr>
              <w:t>sponsor/institution</w:t>
            </w:r>
            <w:r w:rsidRPr="00F875F3">
              <w:rPr>
                <w:rFonts w:cs="Arial"/>
              </w:rPr>
              <w:t xml:space="preserve"> guidelines.</w:t>
            </w:r>
          </w:p>
        </w:tc>
      </w:tr>
    </w:tbl>
    <w:p w:rsidR="00F875F3" w:rsidRPr="00F875F3" w:rsidRDefault="00F875F3" w:rsidP="00121E66">
      <w:pPr>
        <w:rPr>
          <w:rFonts w:cs="Arial"/>
          <w:sz w:val="22"/>
          <w:szCs w:val="22"/>
        </w:rPr>
      </w:pPr>
    </w:p>
    <w:sectPr w:rsidR="00F875F3" w:rsidRPr="00F875F3" w:rsidSect="00BA456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17" w:rsidRDefault="004B5D17" w:rsidP="008354E2">
      <w:r>
        <w:separator/>
      </w:r>
    </w:p>
  </w:endnote>
  <w:endnote w:type="continuationSeparator" w:id="0">
    <w:p w:rsidR="004B5D17" w:rsidRDefault="004B5D17" w:rsidP="0083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Body)">
    <w:altName w:val="Calibri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9" w:rsidRPr="00EE3877" w:rsidRDefault="00EF4B69">
    <w:pPr>
      <w:pStyle w:val="Footer"/>
      <w:rPr>
        <w:rFonts w:cstheme="majorHAnsi"/>
        <w:color w:val="808080" w:themeColor="background1" w:themeShade="80"/>
        <w:sz w:val="18"/>
        <w:szCs w:val="18"/>
      </w:rPr>
    </w:pPr>
  </w:p>
  <w:p w:rsidR="00EF4B69" w:rsidRPr="00EE3877" w:rsidRDefault="00EF4B69">
    <w:pPr>
      <w:pStyle w:val="Footer"/>
      <w:rPr>
        <w:rFonts w:cstheme="majorHAnsi"/>
        <w:color w:val="808080" w:themeColor="background1" w:themeShade="80"/>
        <w:sz w:val="18"/>
        <w:szCs w:val="18"/>
      </w:rPr>
    </w:pPr>
    <w:r w:rsidRPr="00EE3877">
      <w:rPr>
        <w:rFonts w:cstheme="majorHAnsi"/>
        <w:color w:val="808080" w:themeColor="background1" w:themeShade="80"/>
        <w:sz w:val="18"/>
        <w:szCs w:val="18"/>
      </w:rPr>
      <w:t>April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CC" w:rsidRDefault="00622350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-220133</wp:posOffset>
          </wp:positionH>
          <wp:positionV relativeFrom="paragraph">
            <wp:posOffset>-120015</wp:posOffset>
          </wp:positionV>
          <wp:extent cx="7332375" cy="389533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375" cy="3895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17" w:rsidRDefault="004B5D17" w:rsidP="008354E2">
      <w:r>
        <w:separator/>
      </w:r>
    </w:p>
  </w:footnote>
  <w:footnote w:type="continuationSeparator" w:id="0">
    <w:p w:rsidR="004B5D17" w:rsidRDefault="004B5D17" w:rsidP="0083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98648060"/>
      <w:docPartObj>
        <w:docPartGallery w:val="Page Numbers (Top of Page)"/>
        <w:docPartUnique/>
      </w:docPartObj>
    </w:sdtPr>
    <w:sdtContent>
      <w:p w:rsidR="00622350" w:rsidRDefault="00AD04E1" w:rsidP="005867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2235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22350" w:rsidRDefault="00622350" w:rsidP="0062235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50" w:rsidRPr="00F472B8" w:rsidRDefault="00F875F3" w:rsidP="00622350">
    <w:pPr>
      <w:pStyle w:val="Header"/>
      <w:tabs>
        <w:tab w:val="clear" w:pos="8640"/>
        <w:tab w:val="right" w:pos="10800"/>
      </w:tabs>
      <w:rPr>
        <w:rStyle w:val="PageNumber"/>
        <w:rFonts w:cstheme="majorHAnsi"/>
        <w:sz w:val="22"/>
        <w:szCs w:val="22"/>
      </w:rPr>
    </w:pPr>
    <w:r>
      <w:rPr>
        <w:rFonts w:cstheme="majorHAnsi"/>
        <w:spacing w:val="-1"/>
        <w:sz w:val="22"/>
        <w:szCs w:val="22"/>
      </w:rPr>
      <w:t>Program Policy</w:t>
    </w:r>
    <w:r>
      <w:rPr>
        <w:rFonts w:cstheme="majorHAnsi"/>
        <w:spacing w:val="-1"/>
        <w:sz w:val="22"/>
        <w:szCs w:val="22"/>
      </w:rPr>
      <w:tab/>
    </w:r>
    <w:r w:rsidR="00622350" w:rsidRPr="00F472B8">
      <w:rPr>
        <w:rFonts w:cstheme="majorHAnsi"/>
        <w:sz w:val="22"/>
        <w:szCs w:val="22"/>
      </w:rPr>
      <w:tab/>
    </w:r>
    <w:sdt>
      <w:sdtPr>
        <w:rPr>
          <w:rStyle w:val="PageNumber"/>
          <w:rFonts w:cstheme="majorHAnsi"/>
          <w:sz w:val="22"/>
          <w:szCs w:val="22"/>
        </w:rPr>
        <w:id w:val="1700578959"/>
        <w:docPartObj>
          <w:docPartGallery w:val="Page Numbers (Top of Page)"/>
          <w:docPartUnique/>
        </w:docPartObj>
      </w:sdtPr>
      <w:sdtContent>
        <w:r w:rsidR="00AD04E1" w:rsidRPr="00F472B8">
          <w:rPr>
            <w:rStyle w:val="PageNumber"/>
            <w:rFonts w:cstheme="majorHAnsi"/>
            <w:sz w:val="22"/>
            <w:szCs w:val="22"/>
          </w:rPr>
          <w:fldChar w:fldCharType="begin"/>
        </w:r>
        <w:r w:rsidR="00622350" w:rsidRPr="00F472B8">
          <w:rPr>
            <w:rStyle w:val="PageNumber"/>
            <w:rFonts w:cstheme="majorHAnsi"/>
            <w:sz w:val="22"/>
            <w:szCs w:val="22"/>
          </w:rPr>
          <w:instrText xml:space="preserve"> PAGE </w:instrText>
        </w:r>
        <w:r w:rsidR="00AD04E1" w:rsidRPr="00F472B8">
          <w:rPr>
            <w:rStyle w:val="PageNumber"/>
            <w:rFonts w:cstheme="majorHAnsi"/>
            <w:sz w:val="22"/>
            <w:szCs w:val="22"/>
          </w:rPr>
          <w:fldChar w:fldCharType="separate"/>
        </w:r>
        <w:r w:rsidR="00B94B97">
          <w:rPr>
            <w:rStyle w:val="PageNumber"/>
            <w:rFonts w:cstheme="majorHAnsi"/>
            <w:noProof/>
            <w:sz w:val="22"/>
            <w:szCs w:val="22"/>
          </w:rPr>
          <w:t>2</w:t>
        </w:r>
        <w:r w:rsidR="00AD04E1" w:rsidRPr="00F472B8">
          <w:rPr>
            <w:rStyle w:val="PageNumber"/>
            <w:rFonts w:cstheme="majorHAnsi"/>
            <w:sz w:val="22"/>
            <w:szCs w:val="22"/>
          </w:rPr>
          <w:fldChar w:fldCharType="end"/>
        </w:r>
      </w:sdtContent>
    </w:sdt>
  </w:p>
  <w:p w:rsidR="00622350" w:rsidRPr="00F472B8" w:rsidRDefault="00622350" w:rsidP="00622350">
    <w:pPr>
      <w:pStyle w:val="Header"/>
      <w:rPr>
        <w:rFonts w:cstheme="majorHAnsi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65474429"/>
      <w:docPartObj>
        <w:docPartGallery w:val="Page Numbers (Top of Page)"/>
        <w:docPartUnique/>
      </w:docPartObj>
    </w:sdtPr>
    <w:sdtContent>
      <w:p w:rsidR="00622350" w:rsidRDefault="00AD04E1" w:rsidP="005867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2235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4B9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317CC" w:rsidRDefault="00622350" w:rsidP="00622350">
    <w:pPr>
      <w:pStyle w:val="Header"/>
      <w:ind w:right="360"/>
    </w:pPr>
    <w:r w:rsidRPr="001D072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-107577</wp:posOffset>
          </wp:positionH>
          <wp:positionV relativeFrom="paragraph">
            <wp:posOffset>-147918</wp:posOffset>
          </wp:positionV>
          <wp:extent cx="7163041" cy="850739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041" cy="850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9pt;height:16.85pt" o:bullet="t">
        <v:imagedata r:id="rId1" o:title="Red Swirl"/>
      </v:shape>
    </w:pict>
  </w:numPicBullet>
  <w:abstractNum w:abstractNumId="0">
    <w:nsid w:val="0031054E"/>
    <w:multiLevelType w:val="hybridMultilevel"/>
    <w:tmpl w:val="34E0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4BCEA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69F"/>
    <w:multiLevelType w:val="hybridMultilevel"/>
    <w:tmpl w:val="3F70FA98"/>
    <w:lvl w:ilvl="0" w:tplc="2A4857DA">
      <w:start w:val="1"/>
      <w:numFmt w:val="decimal"/>
      <w:lvlText w:val="%1."/>
      <w:lvlJc w:val="left"/>
      <w:pPr>
        <w:ind w:left="979" w:hanging="361"/>
      </w:pPr>
      <w:rPr>
        <w:rFonts w:ascii="Arial" w:eastAsia="Arial" w:hAnsi="Arial" w:hint="default"/>
        <w:w w:val="99"/>
        <w:sz w:val="19"/>
        <w:szCs w:val="19"/>
      </w:rPr>
    </w:lvl>
    <w:lvl w:ilvl="1" w:tplc="B4F485D2">
      <w:start w:val="1"/>
      <w:numFmt w:val="bullet"/>
      <w:lvlText w:val="•"/>
      <w:lvlJc w:val="left"/>
      <w:pPr>
        <w:ind w:left="1925" w:hanging="361"/>
      </w:pPr>
      <w:rPr>
        <w:rFonts w:hint="default"/>
      </w:rPr>
    </w:lvl>
    <w:lvl w:ilvl="2" w:tplc="3A88ECF0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444EC0C6">
      <w:start w:val="1"/>
      <w:numFmt w:val="bullet"/>
      <w:lvlText w:val="•"/>
      <w:lvlJc w:val="left"/>
      <w:pPr>
        <w:ind w:left="3817" w:hanging="361"/>
      </w:pPr>
      <w:rPr>
        <w:rFonts w:hint="default"/>
      </w:rPr>
    </w:lvl>
    <w:lvl w:ilvl="4" w:tplc="1772F430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58C888EE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B12C86A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E3607BAA">
      <w:start w:val="1"/>
      <w:numFmt w:val="bullet"/>
      <w:lvlText w:val="•"/>
      <w:lvlJc w:val="left"/>
      <w:pPr>
        <w:ind w:left="7601" w:hanging="361"/>
      </w:pPr>
      <w:rPr>
        <w:rFonts w:hint="default"/>
      </w:rPr>
    </w:lvl>
    <w:lvl w:ilvl="8" w:tplc="C2FE45F2">
      <w:start w:val="1"/>
      <w:numFmt w:val="bullet"/>
      <w:lvlText w:val="•"/>
      <w:lvlJc w:val="left"/>
      <w:pPr>
        <w:ind w:left="8547" w:hanging="361"/>
      </w:pPr>
      <w:rPr>
        <w:rFonts w:hint="default"/>
      </w:rPr>
    </w:lvl>
  </w:abstractNum>
  <w:abstractNum w:abstractNumId="2">
    <w:nsid w:val="11BE5EF4"/>
    <w:multiLevelType w:val="hybridMultilevel"/>
    <w:tmpl w:val="F3DA780A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">
    <w:nsid w:val="12271063"/>
    <w:multiLevelType w:val="hybridMultilevel"/>
    <w:tmpl w:val="95B02106"/>
    <w:lvl w:ilvl="0" w:tplc="8F48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CE639B"/>
    <w:multiLevelType w:val="hybridMultilevel"/>
    <w:tmpl w:val="D766FC26"/>
    <w:lvl w:ilvl="0" w:tplc="E6D29BC8">
      <w:start w:val="1"/>
      <w:numFmt w:val="decimal"/>
      <w:lvlText w:val="%1."/>
      <w:lvlJc w:val="left"/>
      <w:pPr>
        <w:ind w:left="839" w:hanging="361"/>
      </w:pPr>
      <w:rPr>
        <w:rFonts w:ascii="Arial" w:eastAsia="Arial" w:hAnsi="Arial" w:hint="default"/>
        <w:w w:val="99"/>
        <w:sz w:val="19"/>
        <w:szCs w:val="19"/>
      </w:rPr>
    </w:lvl>
    <w:lvl w:ilvl="1" w:tplc="E1A61D4C">
      <w:start w:val="1"/>
      <w:numFmt w:val="bullet"/>
      <w:lvlText w:val="•"/>
      <w:lvlJc w:val="left"/>
      <w:pPr>
        <w:ind w:left="1785" w:hanging="361"/>
      </w:pPr>
      <w:rPr>
        <w:rFonts w:hint="default"/>
      </w:rPr>
    </w:lvl>
    <w:lvl w:ilvl="2" w:tplc="65CCB3F0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8E0A91B2">
      <w:start w:val="1"/>
      <w:numFmt w:val="bullet"/>
      <w:lvlText w:val="•"/>
      <w:lvlJc w:val="left"/>
      <w:pPr>
        <w:ind w:left="3677" w:hanging="361"/>
      </w:pPr>
      <w:rPr>
        <w:rFonts w:hint="default"/>
      </w:rPr>
    </w:lvl>
    <w:lvl w:ilvl="4" w:tplc="070A8EBA">
      <w:start w:val="1"/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D8C462A0">
      <w:start w:val="1"/>
      <w:numFmt w:val="bullet"/>
      <w:lvlText w:val="•"/>
      <w:lvlJc w:val="left"/>
      <w:pPr>
        <w:ind w:left="5569" w:hanging="361"/>
      </w:pPr>
      <w:rPr>
        <w:rFonts w:hint="default"/>
      </w:rPr>
    </w:lvl>
    <w:lvl w:ilvl="6" w:tplc="F078B0EA">
      <w:start w:val="1"/>
      <w:numFmt w:val="bullet"/>
      <w:lvlText w:val="•"/>
      <w:lvlJc w:val="left"/>
      <w:pPr>
        <w:ind w:left="6515" w:hanging="361"/>
      </w:pPr>
      <w:rPr>
        <w:rFonts w:hint="default"/>
      </w:rPr>
    </w:lvl>
    <w:lvl w:ilvl="7" w:tplc="8A3EDE22">
      <w:start w:val="1"/>
      <w:numFmt w:val="bullet"/>
      <w:lvlText w:val="•"/>
      <w:lvlJc w:val="left"/>
      <w:pPr>
        <w:ind w:left="7461" w:hanging="361"/>
      </w:pPr>
      <w:rPr>
        <w:rFonts w:hint="default"/>
      </w:rPr>
    </w:lvl>
    <w:lvl w:ilvl="8" w:tplc="644C52A0">
      <w:start w:val="1"/>
      <w:numFmt w:val="bullet"/>
      <w:lvlText w:val="•"/>
      <w:lvlJc w:val="left"/>
      <w:pPr>
        <w:ind w:left="8407" w:hanging="361"/>
      </w:pPr>
      <w:rPr>
        <w:rFonts w:hint="default"/>
      </w:rPr>
    </w:lvl>
  </w:abstractNum>
  <w:abstractNum w:abstractNumId="5">
    <w:nsid w:val="19852BBC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23F74F4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212C3C"/>
    <w:multiLevelType w:val="hybridMultilevel"/>
    <w:tmpl w:val="0032E0E2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81EA8ABC">
      <w:start w:val="1"/>
      <w:numFmt w:val="decimal"/>
      <w:lvlText w:val="%2."/>
      <w:lvlJc w:val="left"/>
      <w:pPr>
        <w:ind w:left="1699" w:hanging="360"/>
      </w:pPr>
      <w:rPr>
        <w:rFonts w:ascii="Arial" w:eastAsia="Arial" w:hAnsi="Arial" w:hint="default"/>
        <w:w w:val="99"/>
        <w:sz w:val="19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8">
    <w:nsid w:val="29BE08A5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D516EE"/>
    <w:multiLevelType w:val="hybridMultilevel"/>
    <w:tmpl w:val="9E8C0EA8"/>
    <w:lvl w:ilvl="0" w:tplc="7EC2490A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w w:val="99"/>
        <w:sz w:val="19"/>
        <w:szCs w:val="19"/>
      </w:rPr>
    </w:lvl>
    <w:lvl w:ilvl="1" w:tplc="5DB8EE3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690EA532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D6DA2B96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8480A366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1548AE34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8B9424E6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1060975A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FC526B46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10">
    <w:nsid w:val="2D97413F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28263DD"/>
    <w:multiLevelType w:val="hybridMultilevel"/>
    <w:tmpl w:val="D3BEBC4C"/>
    <w:lvl w:ilvl="0" w:tplc="4F8873FA">
      <w:start w:val="1"/>
      <w:numFmt w:val="decimal"/>
      <w:lvlText w:val="%1."/>
      <w:lvlJc w:val="left"/>
      <w:pPr>
        <w:ind w:left="839" w:hanging="361"/>
      </w:pPr>
      <w:rPr>
        <w:rFonts w:ascii="Arial" w:eastAsia="Arial" w:hAnsi="Arial" w:hint="default"/>
        <w:w w:val="99"/>
        <w:sz w:val="19"/>
        <w:szCs w:val="19"/>
      </w:rPr>
    </w:lvl>
    <w:lvl w:ilvl="1" w:tplc="C644925A">
      <w:start w:val="1"/>
      <w:numFmt w:val="lowerLetter"/>
      <w:lvlText w:val="%2."/>
      <w:lvlJc w:val="left"/>
      <w:pPr>
        <w:ind w:left="1199" w:hanging="360"/>
      </w:pPr>
      <w:rPr>
        <w:rFonts w:ascii="Arial" w:eastAsia="Arial" w:hAnsi="Arial" w:hint="default"/>
        <w:w w:val="99"/>
        <w:sz w:val="19"/>
        <w:szCs w:val="19"/>
      </w:rPr>
    </w:lvl>
    <w:lvl w:ilvl="2" w:tplc="0890F6DC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1B841EC0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1534C66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9566376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35488BE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7BE453E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D66C64F2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12">
    <w:nsid w:val="32885660"/>
    <w:multiLevelType w:val="hybridMultilevel"/>
    <w:tmpl w:val="EE34F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E549FA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50B83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51DF9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075E2"/>
    <w:multiLevelType w:val="hybridMultilevel"/>
    <w:tmpl w:val="A39408A8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7">
    <w:nsid w:val="5B616630"/>
    <w:multiLevelType w:val="hybridMultilevel"/>
    <w:tmpl w:val="3288F6C6"/>
    <w:lvl w:ilvl="0" w:tplc="C1F8DB74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w w:val="99"/>
        <w:sz w:val="19"/>
        <w:szCs w:val="19"/>
      </w:rPr>
    </w:lvl>
    <w:lvl w:ilvl="1" w:tplc="86422F06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4B7A0D12">
      <w:start w:val="1"/>
      <w:numFmt w:val="bullet"/>
      <w:lvlText w:val="•"/>
      <w:lvlJc w:val="left"/>
      <w:pPr>
        <w:ind w:left="2355" w:hanging="361"/>
      </w:pPr>
      <w:rPr>
        <w:rFonts w:hint="default"/>
      </w:rPr>
    </w:lvl>
    <w:lvl w:ilvl="3" w:tplc="E13C36B6">
      <w:start w:val="1"/>
      <w:numFmt w:val="bullet"/>
      <w:lvlText w:val="•"/>
      <w:lvlJc w:val="left"/>
      <w:pPr>
        <w:ind w:left="3351" w:hanging="361"/>
      </w:pPr>
      <w:rPr>
        <w:rFonts w:hint="default"/>
      </w:rPr>
    </w:lvl>
    <w:lvl w:ilvl="4" w:tplc="326CBB68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06AC5FC6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A14EDACA">
      <w:start w:val="1"/>
      <w:numFmt w:val="bullet"/>
      <w:lvlText w:val="•"/>
      <w:lvlJc w:val="left"/>
      <w:pPr>
        <w:ind w:left="6337" w:hanging="361"/>
      </w:pPr>
      <w:rPr>
        <w:rFonts w:hint="default"/>
      </w:rPr>
    </w:lvl>
    <w:lvl w:ilvl="7" w:tplc="F08849DA">
      <w:start w:val="1"/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AE58D492">
      <w:start w:val="1"/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18">
    <w:nsid w:val="5ECC06A6"/>
    <w:multiLevelType w:val="hybridMultilevel"/>
    <w:tmpl w:val="5B289FF6"/>
    <w:lvl w:ilvl="0" w:tplc="2206C11E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w w:val="99"/>
        <w:sz w:val="19"/>
        <w:szCs w:val="19"/>
      </w:rPr>
    </w:lvl>
    <w:lvl w:ilvl="1" w:tplc="11926A64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072A3E80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1FE05EFA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F198F834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A978D8FC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FB00D48C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244F16C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44DAD56C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17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54E2"/>
    <w:rsid w:val="0001016E"/>
    <w:rsid w:val="00070C2E"/>
    <w:rsid w:val="000F6FBF"/>
    <w:rsid w:val="00121E66"/>
    <w:rsid w:val="0014113D"/>
    <w:rsid w:val="001D0724"/>
    <w:rsid w:val="00203213"/>
    <w:rsid w:val="00212D78"/>
    <w:rsid w:val="002A1BF4"/>
    <w:rsid w:val="002D4F99"/>
    <w:rsid w:val="00375BCB"/>
    <w:rsid w:val="00382B5C"/>
    <w:rsid w:val="00400DF4"/>
    <w:rsid w:val="0047655E"/>
    <w:rsid w:val="004B5D17"/>
    <w:rsid w:val="004C1F52"/>
    <w:rsid w:val="004F7E12"/>
    <w:rsid w:val="00587125"/>
    <w:rsid w:val="005C66C1"/>
    <w:rsid w:val="005D7998"/>
    <w:rsid w:val="00622350"/>
    <w:rsid w:val="00625278"/>
    <w:rsid w:val="00640034"/>
    <w:rsid w:val="00646F56"/>
    <w:rsid w:val="00667259"/>
    <w:rsid w:val="006B3AF1"/>
    <w:rsid w:val="007317CC"/>
    <w:rsid w:val="00775F00"/>
    <w:rsid w:val="00780B65"/>
    <w:rsid w:val="007A3F2F"/>
    <w:rsid w:val="007D6A4A"/>
    <w:rsid w:val="007E68CD"/>
    <w:rsid w:val="008354E2"/>
    <w:rsid w:val="00851131"/>
    <w:rsid w:val="00892973"/>
    <w:rsid w:val="0089776C"/>
    <w:rsid w:val="008D64F8"/>
    <w:rsid w:val="008F67FA"/>
    <w:rsid w:val="008F6B65"/>
    <w:rsid w:val="009119FB"/>
    <w:rsid w:val="009217FE"/>
    <w:rsid w:val="00926C74"/>
    <w:rsid w:val="00932BC5"/>
    <w:rsid w:val="009D0809"/>
    <w:rsid w:val="009E60A9"/>
    <w:rsid w:val="00A36763"/>
    <w:rsid w:val="00A51DA7"/>
    <w:rsid w:val="00A56971"/>
    <w:rsid w:val="00A74350"/>
    <w:rsid w:val="00A85168"/>
    <w:rsid w:val="00A905A4"/>
    <w:rsid w:val="00AA48DA"/>
    <w:rsid w:val="00AC0B50"/>
    <w:rsid w:val="00AD04E1"/>
    <w:rsid w:val="00AF48F4"/>
    <w:rsid w:val="00B43F6C"/>
    <w:rsid w:val="00B550FE"/>
    <w:rsid w:val="00B64563"/>
    <w:rsid w:val="00B94B97"/>
    <w:rsid w:val="00BA4564"/>
    <w:rsid w:val="00BB48C9"/>
    <w:rsid w:val="00BC3341"/>
    <w:rsid w:val="00C60144"/>
    <w:rsid w:val="00C77B77"/>
    <w:rsid w:val="00CB5AF4"/>
    <w:rsid w:val="00CF7418"/>
    <w:rsid w:val="00D22A7E"/>
    <w:rsid w:val="00D82C9E"/>
    <w:rsid w:val="00DA6429"/>
    <w:rsid w:val="00E97F48"/>
    <w:rsid w:val="00EE33D7"/>
    <w:rsid w:val="00EE3877"/>
    <w:rsid w:val="00EF4B69"/>
    <w:rsid w:val="00F472B8"/>
    <w:rsid w:val="00F540AB"/>
    <w:rsid w:val="00F875F3"/>
    <w:rsid w:val="00FA6C6D"/>
    <w:rsid w:val="00FB05AE"/>
    <w:rsid w:val="00FE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E1"/>
  </w:style>
  <w:style w:type="paragraph" w:styleId="Heading1">
    <w:name w:val="heading 1"/>
    <w:basedOn w:val="Normal"/>
    <w:link w:val="Heading1Char"/>
    <w:uiPriority w:val="9"/>
    <w:qFormat/>
    <w:rsid w:val="00622350"/>
    <w:pPr>
      <w:widowControl w:val="0"/>
      <w:ind w:left="2143"/>
      <w:outlineLvl w:val="0"/>
    </w:pPr>
    <w:rPr>
      <w:rFonts w:ascii="Arial" w:eastAsia="Arial" w:hAnsi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22350"/>
    <w:pPr>
      <w:widowControl w:val="0"/>
      <w:ind w:left="25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2350"/>
    <w:rPr>
      <w:rFonts w:ascii="Arial" w:eastAsia="Arial" w:hAnsi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22350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622350"/>
    <w:pPr>
      <w:widowControl w:val="0"/>
      <w:spacing w:before="120"/>
      <w:ind w:left="979" w:hanging="36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22350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622350"/>
  </w:style>
  <w:style w:type="paragraph" w:styleId="FootnoteText">
    <w:name w:val="footnote text"/>
    <w:basedOn w:val="Normal"/>
    <w:link w:val="FootnoteTextChar"/>
    <w:uiPriority w:val="99"/>
    <w:semiHidden/>
    <w:unhideWhenUsed/>
    <w:rsid w:val="00010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1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799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7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F875F3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F875F3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AnnMarie Mecera</cp:lastModifiedBy>
  <cp:revision>3</cp:revision>
  <cp:lastPrinted>2020-03-30T18:18:00Z</cp:lastPrinted>
  <dcterms:created xsi:type="dcterms:W3CDTF">2020-04-03T20:26:00Z</dcterms:created>
  <dcterms:modified xsi:type="dcterms:W3CDTF">2020-04-08T00:33:00Z</dcterms:modified>
</cp:coreProperties>
</file>